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P&amp;G celebra 75 años innovando por México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Asistieron al evento de aniversario altos directivos de Procter &amp; Gamble a nivel mundial, así como socios comerciales.</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La empresa comercializa en el país más de 30 marcas en las categorías de cuidado personal, cuidado del hogar y cuidado de la salud.</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16 de mayo de 2023</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P&amp;G, empresa que comercializa marcas como Ariel, Pantene, Gillette y Oral-B, celebra 75 años de impulsar el crecimiento en México mediante la innovación enfocada en ofrecer productos que mejoran la vida diaria de las personas.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pasado martes 16 de mayo, la compañía festejó su aniversario en un evento que tuvo como sede el Museo Soumaya de la Ciudad de México, en el que se contó con la presencia de altos directivos de la empresa a nivel mundial como Shailesh Jejurikar, Presidente Ejecutivo de Operaciones de The Procter &amp; Gamble Company (COO); Victor Aguilar, Presidente Ejecutivo de Investigación, Desarrollo e Innovación; Juliana Azevedo, Presidente para Latinoamérica, y Juan Carlos Trujillo, Presidente y Director General de P&amp;G México.</w:t>
      </w:r>
    </w:p>
    <w:p w:rsidR="00000000" w:rsidDel="00000000" w:rsidP="00000000" w:rsidRDefault="00000000" w:rsidRPr="00000000" w14:paraId="00000009">
      <w:pPr>
        <w:jc w:val="both"/>
        <w:rPr/>
      </w:pPr>
      <w:r w:rsidDel="00000000" w:rsidR="00000000" w:rsidRPr="00000000">
        <w:rPr>
          <w:color w:val="4d5156"/>
          <w:sz w:val="21"/>
          <w:szCs w:val="21"/>
          <w:highlight w:val="white"/>
          <w:rtl w:val="0"/>
        </w:rPr>
        <w:t xml:space="preserve">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evento estuvo engalanado por un concierto de la artista, compositora, intérprete y productora musical Natalia Lafourcade, la conducción de la periodista Paola Rojas y la presencia de la actriz Camila Sodi entre otras personalidades y generadores de contenido.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Shailesh Jejurikar ofreció unas palabras acerca de Procter &amp; Gamble a nivel global y reiteró la importancia de México como uno de los 10 países más importantes en los que la compañía tiene presencia en el mundo, enfatizando y reiterando el compromiso por seguir creciendo con el país.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Durante el evento, Juan Carlos Trujillo, Presidente y Director General P&amp;G México, habló de la historia y el impacto de la compañía en el país desde su llegada en 1948, cuando la empresa adquirió una planta de aceite de cocina.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Destacó que actualmente P&amp;G cuenta con 6 plantas de manufactura situadas en el Estado de México, CDMX, Hidalgo y Guanajuato para consumo doméstico y exportación, las cuales están en constante evolución y adoptan nuevas tecnologías, ingredientes y procesos a fin de ofrecer productos de calidad que mejoren la calidad de vida de las personas.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“En la actualidad, el 99% de los hogares de México utilizan al menos un producto de P&amp;G todos los días. Formar parte de la vida de las familias y participar en su día a día es una responsabilidad enorme, y nuestro compromiso radica en seguir innovando y ofreciendo marcas que tengan un impacto positivo en sus vidas, las comunidades, la sociedad y el planeta</w:t>
      </w:r>
      <w:r w:rsidDel="00000000" w:rsidR="00000000" w:rsidRPr="00000000">
        <w:rPr>
          <w:rtl w:val="0"/>
        </w:rPr>
        <w:t xml:space="preserve">”, mencionó Trujillo.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Adicionalmente, destacó el compromiso que la compañía tiene con todos sus colaboradores en todo el país, quienes son parte fundamental para construir una organización de alto desempeño y agradeció a las generaciones que han formado parte de la historia de P&amp;G México.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i w:val="1"/>
          <w:rtl w:val="0"/>
        </w:rPr>
        <w:t xml:space="preserve">“Es importante resaltar y reconocer el trabajo que los más de 7,000 mexicanos que trabajan para esta gran compañía realizan todos los días. Su trabajo genera un impacto directo en la vida de otras personas, lo cual hace imperante la necesidad de impulsar sus habilidades y capacidades, y crear un ambiente de motivación e inspiración para que cada colaborador sea consciente de la importancia de su papel”</w:t>
      </w:r>
      <w:r w:rsidDel="00000000" w:rsidR="00000000" w:rsidRPr="00000000">
        <w:rPr>
          <w:rtl w:val="0"/>
        </w:rPr>
        <w:t xml:space="preserve">, señaló.</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Como parte de la celebración, se realizó un espectáculo de luces y video al exterior del Museo Soumaya como homenaje y agradecimiento a todos los mexicanos que le permiten a la compañía ser parte de su día a día, desde hace 75 años.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Se vivió un ambiente de celebración entre todos los asistentes y el evento cerró con la develación de la placa conmemorativa y la toma de una foto oficial de la plantilla directiva de P&amp;G. De ese modo, con socios de negocio, aliados de la sociedad civil y medios de comunicación, la compañía celebró su 75 aniversario como parte de los hogares mexicanos, además de un agente de cambio, crecimiento, bien común y trabajo para hacer realidad el propósito de “mejorar la vida de las personas ahora y para las generaciones venideras”.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Acerca de Procter &amp; Gamble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P&amp;G sirve a consumidores alrededor del mundo con unos de los portafolios de marcas líderes más fuertes y de mayor confianza incluyendo Ace®, Always®, Ariel®, Dolo-Neurobión®, Downy®, Gillette®, Head &amp; Shoulders®, Herbal Essences®, Naturella®, Old-Spice®, Oral-B®, Pantene®, Pepto-Bismol®, Salvo®, Secret®, Sedalmerk® y Vick®, entre otras. La comunidad P&amp;G incluye operaciones en aproximadamente 70 países alrededor del mundo. Para más información acerca de P&amp;G, consulta la página</w:t>
      </w:r>
      <w:hyperlink r:id="rId7">
        <w:r w:rsidDel="00000000" w:rsidR="00000000" w:rsidRPr="00000000">
          <w:rPr>
            <w:rFonts w:ascii="Arial" w:cs="Arial" w:eastAsia="Arial" w:hAnsi="Arial"/>
            <w:b w:val="1"/>
            <w:i w:val="0"/>
            <w:smallCaps w:val="0"/>
            <w:strike w:val="0"/>
            <w:color w:val="454545"/>
            <w:sz w:val="20"/>
            <w:szCs w:val="20"/>
            <w:u w:val="single"/>
            <w:shd w:fill="auto" w:val="clear"/>
            <w:vertAlign w:val="baseline"/>
            <w:rtl w:val="0"/>
          </w:rPr>
          <w:t xml:space="preserve"> </w:t>
        </w:r>
      </w:hyperlink>
      <w:hyperlink r:id="rId8">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https://pg.com.mx </w:t>
        </w:r>
      </w:hyperlink>
      <w:r w:rsidDel="00000000" w:rsidR="00000000" w:rsidRPr="00000000">
        <w:rPr>
          <w:rFonts w:ascii="Arial" w:cs="Arial" w:eastAsia="Arial" w:hAnsi="Arial"/>
          <w:b w:val="1"/>
          <w:i w:val="0"/>
          <w:smallCaps w:val="0"/>
          <w:strike w:val="0"/>
          <w:color w:val="454545"/>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su sala de</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 </w:t>
        </w:r>
      </w:hyperlink>
      <w:hyperlink r:id="rId10">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prensa</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454545"/>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Visita también</w:t>
      </w:r>
      <w:r w:rsidDel="00000000" w:rsidR="00000000" w:rsidRPr="00000000">
        <w:rPr>
          <w:rFonts w:ascii="Arial" w:cs="Arial" w:eastAsia="Arial" w:hAnsi="Arial"/>
          <w:b w:val="0"/>
          <w:i w:val="0"/>
          <w:smallCaps w:val="0"/>
          <w:strike w:val="0"/>
          <w:color w:val="242424"/>
          <w:sz w:val="20"/>
          <w:szCs w:val="20"/>
          <w:u w:val="none"/>
          <w:shd w:fill="auto" w:val="clear"/>
          <w:vertAlign w:val="baseline"/>
          <w:rtl w:val="0"/>
        </w:rPr>
        <w:t xml:space="preserve">:</w:t>
      </w:r>
      <w:hyperlink r:id="rId11">
        <w:r w:rsidDel="00000000" w:rsidR="00000000" w:rsidRPr="00000000">
          <w:rPr>
            <w:rFonts w:ascii="Arial" w:cs="Arial" w:eastAsia="Arial" w:hAnsi="Arial"/>
            <w:b w:val="1"/>
            <w:i w:val="0"/>
            <w:smallCaps w:val="0"/>
            <w:strike w:val="0"/>
            <w:color w:val="454545"/>
            <w:sz w:val="20"/>
            <w:szCs w:val="20"/>
            <w:u w:val="single"/>
            <w:shd w:fill="auto" w:val="clear"/>
            <w:vertAlign w:val="baseline"/>
            <w:rtl w:val="0"/>
          </w:rPr>
          <w:t xml:space="preserve"> </w:t>
        </w:r>
      </w:hyperlink>
      <w:hyperlink r:id="rId12">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Linkedin P&amp;G México</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w:t>
      </w:r>
      <w:hyperlink r:id="rId13">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Instagram P&amp;G México</w:t>
        </w:r>
      </w:hyperlink>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rtl w:val="0"/>
        </w:rPr>
      </w:r>
    </w:p>
    <w:p w:rsidR="00000000" w:rsidDel="00000000" w:rsidP="00000000" w:rsidRDefault="00000000" w:rsidRPr="00000000" w14:paraId="0000001F">
      <w:pPr>
        <w:jc w:val="both"/>
        <w:rPr>
          <w:b w:val="1"/>
          <w:sz w:val="20"/>
          <w:szCs w:val="20"/>
        </w:rPr>
      </w:pPr>
      <w:r w:rsidDel="00000000" w:rsidR="00000000" w:rsidRPr="00000000">
        <w:rPr>
          <w:b w:val="1"/>
          <w:sz w:val="20"/>
          <w:szCs w:val="20"/>
          <w:rtl w:val="0"/>
        </w:rPr>
        <w:t xml:space="preserve">Contacto de prensa:</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Tanya Belmont</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tanya.belmont@another.co</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55 6211 9370</w:t>
      </w:r>
    </w:p>
    <w:p w:rsidR="00000000" w:rsidDel="00000000" w:rsidP="00000000" w:rsidRDefault="00000000" w:rsidRPr="00000000" w14:paraId="00000023">
      <w:pPr>
        <w:jc w:val="both"/>
        <w:rPr>
          <w:sz w:val="20"/>
          <w:szCs w:val="20"/>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center" w:leader="none" w:pos="4419"/>
        <w:tab w:val="right" w:leader="none" w:pos="8838"/>
        <w:tab w:val="left" w:leader="none" w:pos="3450"/>
      </w:tabs>
      <w:spacing w:line="240" w:lineRule="auto"/>
      <w:rPr>
        <w:rFonts w:ascii="Open Sans" w:cs="Open Sans" w:eastAsia="Open Sans" w:hAnsi="Open Sans"/>
      </w:rPr>
    </w:pPr>
    <w:r w:rsidDel="00000000" w:rsidR="00000000" w:rsidRPr="00000000">
      <w:rPr>
        <w:rFonts w:ascii="Calibri" w:cs="Calibri" w:eastAsia="Calibri" w:hAnsi="Calibri"/>
      </w:rPr>
      <w:drawing>
        <wp:inline distB="114300" distT="114300" distL="114300" distR="114300">
          <wp:extent cx="2452688" cy="701801"/>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52688" cy="701801"/>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282575"/>
              <wp:effectExtent b="0" l="0" r="0" t="0"/>
              <wp:wrapNone/>
              <wp:docPr descr="{&quot;HashCode&quot;:1452656554,&quot;Height&quot;:792.0,&quot;Width&quot;:612.0,&quot;Placement&quot;:&quot;Header&quot;,&quot;Index&quot;:&quot;Primary&quot;,&quot;Section&quot;:1,&quot;Top&quot;:0.0,&quot;Left&quot;:0.0}" id="3" name=""/>
              <a:graphic>
                <a:graphicData uri="http://schemas.microsoft.com/office/word/2010/wordprocessingShape">
                  <wps:wsp>
                    <wps:cNvSpPr/>
                    <wps:cNvPr id="2" name="Shape 2"/>
                    <wps:spPr>
                      <a:xfrm>
                        <a:off x="1459800" y="3643475"/>
                        <a:ext cx="77724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t xml:space="preserve">Business Use</w:t>
                          </w:r>
                        </w:p>
                      </w:txbxContent>
                    </wps:txbx>
                    <wps:bodyPr anchorCtr="0" anchor="t" bIns="0" lIns="91425" spcFirstLastPara="1" rIns="2540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282575"/>
              <wp:effectExtent b="0" l="0" r="0" t="0"/>
              <wp:wrapNone/>
              <wp:docPr descr="{&quot;HashCode&quot;:1452656554,&quot;Height&quot;:792.0,&quot;Width&quot;:612.0,&quot;Placement&quot;:&quot;Header&quot;,&quot;Index&quot;:&quot;Primary&quot;,&quot;Section&quot;:1,&quot;Top&quot;:0.0,&quot;Left&quot;:0.0}" id="3" name="image2.png"/>
              <a:graphic>
                <a:graphicData uri="http://schemas.openxmlformats.org/drawingml/2006/picture">
                  <pic:pic>
                    <pic:nvPicPr>
                      <pic:cNvPr descr="{&quot;HashCode&quot;:1452656554,&quot;Height&quot;:792.0,&quot;Width&quot;:612.0,&quot;Placement&quot;:&quot;Header&quot;,&quot;Index&quot;:&quot;Primary&quot;,&quot;Section&quot;:1,&quot;Top&quot;:0.0,&quot;Left&quot;:0.0}" id="0" name="image2.png"/>
                      <pic:cNvPicPr preferRelativeResize="0"/>
                    </pic:nvPicPr>
                    <pic:blipFill>
                      <a:blip r:embed="rId2"/>
                      <a:srcRect/>
                      <a:stretch>
                        <a:fillRect/>
                      </a:stretch>
                    </pic:blipFill>
                    <pic:spPr>
                      <a:xfrm>
                        <a:off x="0" y="0"/>
                        <a:ext cx="7781925" cy="2825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ED42F3"/>
    <w:pPr>
      <w:tabs>
        <w:tab w:val="center" w:pos="4680"/>
        <w:tab w:val="right" w:pos="9360"/>
      </w:tabs>
      <w:spacing w:line="240" w:lineRule="auto"/>
    </w:pPr>
  </w:style>
  <w:style w:type="character" w:styleId="HeaderChar" w:customStyle="1">
    <w:name w:val="Header Char"/>
    <w:basedOn w:val="DefaultParagraphFont"/>
    <w:link w:val="Header"/>
    <w:uiPriority w:val="99"/>
    <w:rsid w:val="00ED42F3"/>
  </w:style>
  <w:style w:type="paragraph" w:styleId="Footer">
    <w:name w:val="footer"/>
    <w:basedOn w:val="Normal"/>
    <w:link w:val="FooterChar"/>
    <w:uiPriority w:val="99"/>
    <w:unhideWhenUsed w:val="1"/>
    <w:rsid w:val="00ED42F3"/>
    <w:pPr>
      <w:tabs>
        <w:tab w:val="center" w:pos="4680"/>
        <w:tab w:val="right" w:pos="9360"/>
      </w:tabs>
      <w:spacing w:line="240" w:lineRule="auto"/>
    </w:pPr>
  </w:style>
  <w:style w:type="character" w:styleId="FooterChar" w:customStyle="1">
    <w:name w:val="Footer Char"/>
    <w:basedOn w:val="DefaultParagraphFont"/>
    <w:link w:val="Footer"/>
    <w:uiPriority w:val="99"/>
    <w:rsid w:val="00ED42F3"/>
  </w:style>
  <w:style w:type="character" w:styleId="Emphasis">
    <w:name w:val="Emphasis"/>
    <w:basedOn w:val="DefaultParagraphFont"/>
    <w:uiPriority w:val="20"/>
    <w:qFormat w:val="1"/>
    <w:rsid w:val="007033AB"/>
    <w:rPr>
      <w:i w:val="1"/>
      <w:iCs w:val="1"/>
    </w:rPr>
  </w:style>
  <w:style w:type="paragraph" w:styleId="NormalWeb">
    <w:name w:val="Normal (Web)"/>
    <w:basedOn w:val="Normal"/>
    <w:uiPriority w:val="99"/>
    <w:semiHidden w:val="1"/>
    <w:unhideWhenUsed w:val="1"/>
    <w:rsid w:val="006E14BF"/>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Strong">
    <w:name w:val="Strong"/>
    <w:basedOn w:val="DefaultParagraphFont"/>
    <w:uiPriority w:val="22"/>
    <w:qFormat w:val="1"/>
    <w:rsid w:val="006E14BF"/>
    <w:rPr>
      <w:b w:val="1"/>
      <w:bCs w:val="1"/>
    </w:rPr>
  </w:style>
  <w:style w:type="character" w:styleId="Hyperlink">
    <w:name w:val="Hyperlink"/>
    <w:basedOn w:val="DefaultParagraphFont"/>
    <w:uiPriority w:val="99"/>
    <w:unhideWhenUsed w:val="1"/>
    <w:rsid w:val="006E14BF"/>
    <w:rPr>
      <w:color w:val="0000ff"/>
      <w:u w:val="single"/>
    </w:rPr>
  </w:style>
  <w:style w:type="character" w:styleId="UnresolvedMention">
    <w:name w:val="Unresolved Mention"/>
    <w:basedOn w:val="DefaultParagraphFont"/>
    <w:uiPriority w:val="99"/>
    <w:semiHidden w:val="1"/>
    <w:unhideWhenUsed w:val="1"/>
    <w:rsid w:val="004E799A"/>
    <w:rPr>
      <w:color w:val="605e5c"/>
      <w:shd w:color="auto" w:fill="e1dfdd" w:val="clear"/>
    </w:rPr>
  </w:style>
  <w:style w:type="character" w:styleId="FollowedHyperlink">
    <w:name w:val="FollowedHyperlink"/>
    <w:basedOn w:val="DefaultParagraphFont"/>
    <w:uiPriority w:val="99"/>
    <w:semiHidden w:val="1"/>
    <w:unhideWhenUsed w:val="1"/>
    <w:rsid w:val="004E799A"/>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procter-and-gamble/" TargetMode="External"/><Relationship Id="rId10" Type="http://schemas.openxmlformats.org/officeDocument/2006/relationships/hyperlink" Target="https://latam.pg.com/sala-de-prensa/" TargetMode="External"/><Relationship Id="rId13" Type="http://schemas.openxmlformats.org/officeDocument/2006/relationships/hyperlink" Target="https://www.instagram.com/pgcareersmx/" TargetMode="External"/><Relationship Id="rId12" Type="http://schemas.openxmlformats.org/officeDocument/2006/relationships/hyperlink" Target="https://www.linkedin.com/company/procter-and-gamb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tam.pg.com/sala-de-prensa/"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pg.com/" TargetMode="External"/><Relationship Id="rId8" Type="http://schemas.openxmlformats.org/officeDocument/2006/relationships/hyperlink" Target="https://us.p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at/Dq/oEeden5LlpVv0iNkXMeQ==">AMUW2mVD+qEjztFxJNwvfzeaRetwpvAivX4q19LOIj1d387CBZiBNNycClEiypH1aOJxWugQ3L7ThE6AlDPv1Yy+wuDAMlvRgt3D9iLu3Vx1qi0skvktnUQ=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2023-05-13T19:12:00Z</dcterms:created>
  <dc:creator>Gonzalez, Anapaula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18e53f-798e-43aa-978d-c3fda1f3a682_Enabled">
    <vt:lpwstr>true</vt:lpwstr>
  </property>
  <property fmtid="{D5CDD505-2E9C-101B-9397-08002B2CF9AE}" pid="3" name="MSIP_Label_a518e53f-798e-43aa-978d-c3fda1f3a682_SetDate">
    <vt:lpwstr>2023-05-13T19:11:26Z</vt:lpwstr>
  </property>
  <property fmtid="{D5CDD505-2E9C-101B-9397-08002B2CF9AE}" pid="4" name="MSIP_Label_a518e53f-798e-43aa-978d-c3fda1f3a682_Method">
    <vt:lpwstr>Privileged</vt:lpwstr>
  </property>
  <property fmtid="{D5CDD505-2E9C-101B-9397-08002B2CF9AE}" pid="5" name="MSIP_Label_a518e53f-798e-43aa-978d-c3fda1f3a682_Name">
    <vt:lpwstr>PG - Internal Use</vt:lpwstr>
  </property>
  <property fmtid="{D5CDD505-2E9C-101B-9397-08002B2CF9AE}" pid="6" name="MSIP_Label_a518e53f-798e-43aa-978d-c3fda1f3a682_SiteId">
    <vt:lpwstr>3596192b-fdf5-4e2c-a6fa-acb706c963d8</vt:lpwstr>
  </property>
  <property fmtid="{D5CDD505-2E9C-101B-9397-08002B2CF9AE}" pid="7" name="MSIP_Label_a518e53f-798e-43aa-978d-c3fda1f3a682_ActionId">
    <vt:lpwstr>a2460b49-4fa4-47c6-8f5e-de6d653bd74a</vt:lpwstr>
  </property>
  <property fmtid="{D5CDD505-2E9C-101B-9397-08002B2CF9AE}" pid="8" name="MSIP_Label_a518e53f-798e-43aa-978d-c3fda1f3a682_ContentBits">
    <vt:lpwstr>1</vt:lpwstr>
  </property>
</Properties>
</file>